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9D2D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341B837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第四单元 沉淀溶解平衡</w:t>
      </w:r>
    </w:p>
    <w:p w14:paraId="1E8F268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K</w:t>
      </w:r>
      <w:r>
        <w:rPr>
          <w:rFonts w:ascii="Times New Roman" w:hAnsi="Times New Roman" w:eastAsia="宋体" w:cs="Times New Roman"/>
          <w:b/>
          <w:bCs/>
          <w:sz w:val="22"/>
          <w:vertAlign w:val="subscript"/>
        </w:rPr>
        <w:t>sp</w:t>
      </w:r>
      <w:r>
        <w:rPr>
          <w:rFonts w:ascii="Times New Roman" w:hAnsi="Times New Roman" w:eastAsia="宋体" w:cs="Times New Roman"/>
          <w:b/>
          <w:bCs/>
          <w:sz w:val="22"/>
        </w:rPr>
        <w:t>相关计算及图像分析</w:t>
      </w:r>
    </w:p>
    <w:p w14:paraId="74C5C8A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2AFB70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溶度积常数</w:t>
      </w:r>
    </w:p>
    <w:p w14:paraId="0A0DC497">
      <w:pPr>
        <w:snapToGrid w:val="0"/>
        <w:spacing w:line="360" w:lineRule="auto"/>
        <w:ind w:firstLine="420" w:firstLineChars="200"/>
        <w:rPr>
          <w:rFonts w:ascii="Times New Roman" w:hAnsi="Times New Roman" w:eastAsia="宋体" w:cs="宋体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1.</w:t>
      </w:r>
      <w:r>
        <w:rPr>
          <w:rFonts w:ascii="Times New Roman" w:hAnsi="Times New Roman" w:eastAsia="宋体" w:cs="Courier New"/>
          <w:szCs w:val="21"/>
        </w:rPr>
        <w:t xml:space="preserve"> 溶度积常数</w:t>
      </w:r>
    </w:p>
    <w:p w14:paraId="4D3B930C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①</w:t>
      </w:r>
      <w:r>
        <w:rPr>
          <w:rFonts w:ascii="Times New Roman" w:hAnsi="Times New Roman" w:eastAsia="宋体" w:cs="Times New Roman"/>
          <w:szCs w:val="24"/>
        </w:rPr>
        <w:t>概念</w:t>
      </w:r>
    </w:p>
    <w:p w14:paraId="01850410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在一定条件下，难溶电解质溶于水形成饱和溶液时，溶质的离子与该固态物质之间建立动态平衡，这时可以用平衡常数来描述难溶电解质在水中的沉淀溶解平衡，其平衡常数称为溶度积常数或</w:t>
      </w:r>
      <w:r>
        <w:rPr>
          <w:rFonts w:hint="eastAsia" w:ascii="Times New Roman" w:hAnsi="Times New Roman" w:eastAsia="宋体" w:cs="Times New Roman"/>
          <w:szCs w:val="24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4"/>
        </w:rPr>
        <w:t>，通常用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来表示。</w:t>
      </w:r>
    </w:p>
    <w:p w14:paraId="66F97EFA">
      <w:pPr>
        <w:snapToGrid w:val="0"/>
        <w:spacing w:line="360" w:lineRule="auto"/>
        <w:ind w:firstLine="420" w:firstLineChars="200"/>
        <w:rPr>
          <w:rFonts w:ascii="Times New Roman" w:hAnsi="Times New Roman" w:eastAsia="宋体" w:cs="Courier New"/>
          <w:szCs w:val="21"/>
          <w:vertAlign w:val="superscript"/>
        </w:rPr>
      </w:pPr>
      <w:r>
        <w:rPr>
          <w:rFonts w:hint="eastAsia" w:ascii="Times New Roman" w:hAnsi="Times New Roman" w:eastAsia="宋体" w:cs="宋体"/>
          <w:szCs w:val="24"/>
        </w:rPr>
        <w:t>②</w:t>
      </w:r>
      <w:r>
        <w:rPr>
          <w:rFonts w:ascii="Times New Roman" w:hAnsi="Times New Roman" w:eastAsia="宋体" w:cs="Times New Roman"/>
          <w:szCs w:val="24"/>
        </w:rPr>
        <w:t>表达式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hint="eastAsia" w:ascii="Times New Roman" w:hAnsi="Times New Roman" w:eastAsia="宋体" w:cs="Courier New"/>
          <w:szCs w:val="21"/>
        </w:rPr>
        <w:t>对于反应M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m</w:t>
      </w:r>
      <w:r>
        <w:rPr>
          <w:rFonts w:hint="eastAsia" w:ascii="Times New Roman" w:hAnsi="Times New Roman" w:eastAsia="宋体" w:cs="Courier New"/>
          <w:szCs w:val="21"/>
        </w:rPr>
        <w:t>A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n</w:t>
      </w:r>
      <w:r>
        <w:rPr>
          <w:rFonts w:hint="eastAsia" w:ascii="Times New Roman" w:hAnsi="Times New Roman" w:eastAsia="宋体" w:cs="Courier New"/>
          <w:szCs w:val="21"/>
        </w:rPr>
        <w:t>(s)</w:t>
      </w:r>
      <w:r>
        <w:rPr>
          <w:rFonts w:ascii="宋体" w:hAnsi="宋体" w:eastAsia="宋体" w:cs="Courier New"/>
          <w:sz w:val="24"/>
          <w:szCs w:val="24"/>
        </w:rPr>
        <w:t xml:space="preserve"> </w:t>
      </w:r>
      <w:r>
        <w:rPr>
          <w:rFonts w:ascii="宋体" w:hAnsi="宋体" w:eastAsia="宋体" w:cs="Courier New"/>
          <w:sz w:val="24"/>
          <w:szCs w:val="24"/>
        </w:rPr>
        <w:drawing>
          <wp:inline distT="0" distB="0" distL="0" distR="0">
            <wp:extent cx="283210" cy="104140"/>
            <wp:effectExtent l="0" t="0" r="8890" b="10160"/>
            <wp:docPr id="763770610" name="图片 76377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70610" name="图片 7637706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  <w:szCs w:val="24"/>
        </w:rPr>
        <w:t>mM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Times New Roman"/>
          <w:sz w:val="24"/>
          <w:szCs w:val="24"/>
        </w:rPr>
        <w:t>(aq)+nA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(aq)    </w:t>
      </w:r>
      <w:r>
        <w:rPr>
          <w:rFonts w:hint="eastAsia" w:ascii="Times New Roman" w:hAnsi="Times New Roman" w:eastAsia="宋体" w:cs="Courier New"/>
          <w:szCs w:val="21"/>
        </w:rPr>
        <w:t>Ksp=c(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m</w:t>
      </w:r>
      <w:r>
        <w:rPr>
          <w:rFonts w:hint="eastAsia" w:ascii="等线" w:hAnsi="等线" w:eastAsia="等线" w:cs="Courier New"/>
          <w:szCs w:val="21"/>
        </w:rPr>
        <w:t>·</w:t>
      </w:r>
      <w:r>
        <w:rPr>
          <w:rFonts w:hint="eastAsia" w:ascii="Times New Roman" w:hAnsi="Times New Roman" w:eastAsia="宋体" w:cs="Courier New"/>
          <w:szCs w:val="21"/>
        </w:rPr>
        <w:t>c(</w:t>
      </w: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n</w:t>
      </w:r>
    </w:p>
    <w:p w14:paraId="0C891A4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③</w:t>
      </w:r>
      <w:r>
        <w:rPr>
          <w:rFonts w:ascii="Times New Roman" w:hAnsi="Times New Roman" w:eastAsia="宋体" w:cs="Times New Roman"/>
          <w:szCs w:val="24"/>
        </w:rPr>
        <w:t>意义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溶度积的大小与溶解度有关，它反映了难溶电解质在水中的</w:t>
      </w:r>
      <w:r>
        <w:rPr>
          <w:rFonts w:hint="eastAsia" w:ascii="Times New Roman" w:hAnsi="Times New Roman" w:eastAsia="宋体" w:cs="Times New Roman"/>
          <w:szCs w:val="24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02C12854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．影响因素：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与难溶电解质的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有关，与浓度无关，与沉淀量无关。</w:t>
      </w:r>
    </w:p>
    <w:p w14:paraId="4734C38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．应用</w:t>
      </w:r>
    </w:p>
    <w:p w14:paraId="4E3E07E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(1)离子积：难溶电解质溶液在任意时刻离子浓度的乘积，用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表示，</w:t>
      </w:r>
    </w:p>
    <w:p w14:paraId="3CC23569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S的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0187C6B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(2)根据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的关系判断溶液状态：</w:t>
      </w:r>
    </w:p>
    <w:p w14:paraId="50DF8F4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析出；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，沉淀与溶解处于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析出。</w:t>
      </w:r>
    </w:p>
    <w:p w14:paraId="2B88A27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二、难溶电解质沉淀溶解平衡的影响因素</w:t>
      </w:r>
    </w:p>
    <w:p w14:paraId="33CD5DFD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．内因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决定因素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：难溶电解质本身的性质。</w:t>
      </w:r>
    </w:p>
    <w:p w14:paraId="689B7392">
      <w:pPr>
        <w:tabs>
          <w:tab w:val="left" w:pos="3402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．外因：温度、浓度等条件的影响</w:t>
      </w:r>
      <w:r>
        <w:rPr>
          <w:rFonts w:hint="eastAsia" w:ascii="Times New Roman" w:hAnsi="宋体" w:eastAsia="宋体" w:cs="Times New Roman"/>
          <w:szCs w:val="21"/>
        </w:rPr>
        <w:t>（</w:t>
      </w:r>
      <w:r>
        <w:rPr>
          <w:rFonts w:ascii="Times New Roman" w:hAnsi="宋体" w:eastAsia="宋体" w:cs="Times New Roman"/>
          <w:szCs w:val="21"/>
        </w:rPr>
        <w:t>符合勒夏特列原理</w:t>
      </w:r>
      <w:r>
        <w:rPr>
          <w:rFonts w:hint="eastAsia"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。</w:t>
      </w:r>
    </w:p>
    <w:p w14:paraId="2EAD9EE0">
      <w:pPr>
        <w:tabs>
          <w:tab w:val="left" w:pos="3402"/>
        </w:tabs>
        <w:snapToGrid w:val="0"/>
        <w:ind w:left="105" w:hanging="105" w:hangingChars="50"/>
        <w:rPr>
          <w:rFonts w:hint="eastAsia"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对于沉淀溶解平衡（溶液中仍有大量固体）：</w:t>
      </w:r>
      <w:r>
        <w:rPr>
          <w:rFonts w:ascii="Times New Roman" w:hAnsi="Times New Roman" w:eastAsia="宋体" w:cs="Times New Roman"/>
          <w:szCs w:val="21"/>
        </w:rPr>
        <w:t>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(s)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42900" cy="76200"/>
            <wp:effectExtent l="0" t="0" r="0" b="0"/>
            <wp:docPr id="3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，请分析下列条件改变时，对沉淀溶解平衡的影响，填写下表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浓度变化均指平衡后和原平衡比较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</w:t>
      </w:r>
    </w:p>
    <w:tbl>
      <w:tblPr>
        <w:tblStyle w:val="4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0"/>
        <w:gridCol w:w="1397"/>
        <w:gridCol w:w="1418"/>
        <w:gridCol w:w="992"/>
      </w:tblGrid>
      <w:tr w14:paraId="0A8F0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B4D45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条件改变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543B73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移动方向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1D8CB7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(Mg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02723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(OH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59E3931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sp</w:t>
            </w:r>
          </w:p>
        </w:tc>
      </w:tr>
      <w:tr w14:paraId="1FA8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72AD1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升温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967AEB0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   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9A5738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4DB07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14:paraId="1E78E9A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4C16A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2A917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MgCl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C1C0F7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   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B897A9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15F4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14:paraId="55201D7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4634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1D819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NaOH(s)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5600E7F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   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BD03A2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5416A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14:paraId="7AF5E3E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4947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F4E30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加盐酸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BB5FC80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   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FA491A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7423E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14:paraId="6D935C4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</w:tr>
      <w:tr w14:paraId="558E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9AEF55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加少量水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8082510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   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B82B1B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E8068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14:paraId="434F557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 xml:space="preserve">    </w:t>
            </w:r>
          </w:p>
        </w:tc>
      </w:tr>
    </w:tbl>
    <w:p w14:paraId="58457F3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7D2DCC4C">
      <w:pPr>
        <w:snapToGrid w:val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可利用溶液混合后的</w:t>
      </w:r>
      <w:r>
        <w:rPr>
          <w:rFonts w:ascii="Times New Roman" w:hAnsi="Times New Roman" w:eastAsia="宋体" w:cs="Times New Roman"/>
          <w:i/>
          <w:szCs w:val="24"/>
        </w:rPr>
        <w:t>Q</w:t>
      </w:r>
      <w:r>
        <w:rPr>
          <w:rFonts w:ascii="Times New Roman" w:hAnsi="Times New Roman" w:eastAsia="宋体" w:cs="Times New Roman"/>
          <w:szCs w:val="24"/>
        </w:rPr>
        <w:t>与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的相对大小来判断溶液混合后是否有沉淀生成。(　　)</w:t>
      </w:r>
    </w:p>
    <w:p w14:paraId="61037AB7">
      <w:pPr>
        <w:snapToGrid w:val="0"/>
        <w:ind w:left="525" w:hanging="525" w:hanging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一定温度下，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，在任何含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固体的溶液中，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宋体" w:eastAsia="宋体" w:cs="Times New Roman"/>
          <w:szCs w:val="21"/>
        </w:rPr>
        <w:t>浓度的乘积等于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且</w:t>
      </w:r>
      <w:r>
        <w:rPr>
          <w:rFonts w:ascii="Times New Roman" w:hAnsi="Times New Roman" w:eastAsia="宋体" w:cs="Times New Roman"/>
          <w:i/>
          <w:szCs w:val="21"/>
        </w:rPr>
        <w:t xml:space="preserve"> c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(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5D87A91A">
      <w:pPr>
        <w:snapToGrid w:val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</w:t>
      </w:r>
      <w:r>
        <w:rPr>
          <w:rFonts w:ascii="Times New Roman" w:hAnsi="Times New Roman" w:eastAsia="宋体" w:cs="Times New Roman"/>
          <w:szCs w:val="24"/>
        </w:rPr>
        <w:t>常温下，向BaCO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的饱和溶液中加入Na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固体，BaCO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减小。(　　)</w:t>
      </w:r>
    </w:p>
    <w:p w14:paraId="386F367E">
      <w:pPr>
        <w:snapToGrid w:val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</w:t>
      </w:r>
      <w:r>
        <w:rPr>
          <w:rFonts w:ascii="Times New Roman" w:hAnsi="Times New Roman" w:eastAsia="宋体" w:cs="Times New Roman"/>
          <w:szCs w:val="24"/>
        </w:rPr>
        <w:t>溶度积常数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只受温度影响，温度升高，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增大。(　</w:t>
      </w:r>
      <w:r>
        <w:rPr>
          <w:rFonts w:hint="eastAsia" w:ascii="Times New Roman" w:hAnsi="Times New Roman" w:eastAsia="宋体" w:cs="Times New Roman"/>
          <w:szCs w:val="24"/>
        </w:rPr>
        <w:t xml:space="preserve"> 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1D8A56C5">
      <w:pPr>
        <w:tabs>
          <w:tab w:val="left" w:pos="3544"/>
        </w:tabs>
        <w:snapToGrid w:val="0"/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向AgCl沉淀中加入KI溶液,由白色沉淀转变成黄色沉淀,是由于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(AgI)&lt;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(AgCl)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(　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F947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9F9D8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AE40F62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1B2EE7"/>
    <w:rsid w:val="0006608B"/>
    <w:rsid w:val="001B2EE7"/>
    <w:rsid w:val="0090623F"/>
    <w:rsid w:val="00986036"/>
    <w:rsid w:val="00C73CED"/>
    <w:rsid w:val="027358DC"/>
    <w:rsid w:val="072C7141"/>
    <w:rsid w:val="13C53BE0"/>
    <w:rsid w:val="2A641AED"/>
    <w:rsid w:val="30670A35"/>
    <w:rsid w:val="39D91D14"/>
    <w:rsid w:val="3D682430"/>
    <w:rsid w:val="3E0627D7"/>
    <w:rsid w:val="408113CD"/>
    <w:rsid w:val="42B9680C"/>
    <w:rsid w:val="518179C1"/>
    <w:rsid w:val="54D443E9"/>
    <w:rsid w:val="59680C56"/>
    <w:rsid w:val="5A124860"/>
    <w:rsid w:val="600D6992"/>
    <w:rsid w:val="68396595"/>
    <w:rsid w:val="6AB32E4C"/>
    <w:rsid w:val="70892E99"/>
    <w:rsid w:val="77DC6D38"/>
    <w:rsid w:val="79F673A7"/>
    <w:rsid w:val="7CD1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672</Words>
  <Characters>856</Characters>
  <Lines>28</Lines>
  <Paragraphs>36</Paragraphs>
  <TotalTime>0</TotalTime>
  <ScaleCrop>false</ScaleCrop>
  <LinksUpToDate>false</LinksUpToDate>
  <CharactersWithSpaces>1026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